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31C1B" w:rsidRDefault="00000000">
      <w:pPr>
        <w:rPr>
          <w:sz w:val="32"/>
          <w:szCs w:val="32"/>
        </w:rPr>
      </w:pPr>
      <w:r>
        <w:rPr>
          <w:b/>
          <w:bCs/>
          <w:sz w:val="32"/>
          <w:szCs w:val="32"/>
        </w:rPr>
        <w:br/>
        <w:t>Z měsíční úložky 2 500 Kč může být za 20 let až 1,5 milionu.</w:t>
      </w:r>
      <w:r>
        <w:rPr>
          <w:sz w:val="32"/>
          <w:szCs w:val="32"/>
        </w:rPr>
        <w:t xml:space="preserve"> </w:t>
      </w:r>
      <w:r>
        <w:rPr>
          <w:b/>
          <w:bCs/>
          <w:sz w:val="32"/>
          <w:szCs w:val="32"/>
        </w:rPr>
        <w:t>Den spoření připomíná sílu času a pravidelnosti</w:t>
      </w:r>
    </w:p>
    <w:p w14:paraId="00000002" w14:textId="77777777" w:rsidR="00F31C1B" w:rsidRDefault="00F31C1B">
      <w:pPr>
        <w:rPr>
          <w:b/>
          <w:bCs/>
        </w:rPr>
      </w:pPr>
    </w:p>
    <w:p w14:paraId="00000003" w14:textId="09A6A2A2" w:rsidR="00F31C1B" w:rsidRDefault="00000000">
      <w:pPr>
        <w:rPr>
          <w:b/>
          <w:bCs/>
        </w:rPr>
      </w:pPr>
      <w:r>
        <w:rPr>
          <w:b/>
          <w:bCs/>
        </w:rPr>
        <w:t xml:space="preserve">Praha, </w:t>
      </w:r>
      <w:r w:rsidR="00864B46">
        <w:rPr>
          <w:b/>
          <w:bCs/>
        </w:rPr>
        <w:t>21</w:t>
      </w:r>
      <w:r>
        <w:rPr>
          <w:b/>
          <w:bCs/>
        </w:rPr>
        <w:t>. říjen 2026</w:t>
      </w:r>
      <w:r>
        <w:t xml:space="preserve"> – </w:t>
      </w:r>
      <w:r>
        <w:rPr>
          <w:b/>
          <w:bCs/>
        </w:rPr>
        <w:t xml:space="preserve">Spořit, nebo investovat? Pro řadu Čechů už dnes nejde o volbu „buď, anebo“. Zatímco krátkodobá finanční rezerva patří především na spořicí účet, peníze určené na dlouhodobé cíle mohou díky pravidelnému investování získat výrazně větší potenciál růstu. Sílu času přitom ukazuje jednoduchý model: kdo bude investovat 2 500 Kč měsíčně po dobu 20 let a dosáhne průměrného ročního zhodnocení 8 %, může mít na konci přibližně 1,5 milionu korun, přestože ze svého vložil jen 600 tisíc. </w:t>
      </w:r>
    </w:p>
    <w:p w14:paraId="00000004" w14:textId="77777777" w:rsidR="00F31C1B" w:rsidRDefault="00000000">
      <w:r>
        <w:t xml:space="preserve">Světový den spoření, který letos připadá na 31. října, je dobrou příležitostí zamyslet se nejen nad tím, kolik peněz odkládat stranou, ale také kam je ukládat. Aktuální </w:t>
      </w:r>
      <w:hyperlink r:id="rId7">
        <w:r>
          <w:rPr>
            <w:color w:val="0000FF"/>
            <w:u w:val="single"/>
          </w:rPr>
          <w:t>průzkumy</w:t>
        </w:r>
      </w:hyperlink>
      <w:r>
        <w:t xml:space="preserve"> ukazují, že zájem Čechů o investování se zvyšuje. Třetina veřejnosti dokonce považuje investování za nutnost. </w:t>
      </w:r>
    </w:p>
    <w:p w14:paraId="00000005" w14:textId="77777777" w:rsidR="00F31C1B" w:rsidRDefault="00000000">
      <w:r>
        <w:rPr>
          <w:i/>
          <w:iCs/>
        </w:rPr>
        <w:t>„Nejdůležitější není začít s vysokou částkou, ale začít vůbec a vydržet. Pravidelnost a dlouhý časový horizont mohou být pro budování majetku důležitější než snaha trefit ideální okamžik pro investici. Zároveň ale platí, že investování není spoření a výnos není garantovaný,“</w:t>
      </w:r>
      <w:r>
        <w:t xml:space="preserve"> říká David Pacoň, investiční odborní společnosti </w:t>
      </w:r>
      <w:proofErr w:type="spellStart"/>
      <w:r>
        <w:t>FinGO</w:t>
      </w:r>
      <w:proofErr w:type="spellEnd"/>
      <w:r>
        <w:t>.</w:t>
      </w:r>
    </w:p>
    <w:p w14:paraId="00000006" w14:textId="77777777" w:rsidR="00F31C1B" w:rsidRDefault="00000000">
      <w:pPr>
        <w:rPr>
          <w:b/>
          <w:bCs/>
          <w:color w:val="FF6600"/>
        </w:rPr>
      </w:pPr>
      <w:r>
        <w:rPr>
          <w:b/>
          <w:bCs/>
          <w:color w:val="FF6600"/>
        </w:rPr>
        <w:t>Češi už peníze nenechávají jen ležet na účtech</w:t>
      </w:r>
    </w:p>
    <w:p w14:paraId="00000007" w14:textId="77777777" w:rsidR="00F31C1B" w:rsidRDefault="00000000">
      <w:r>
        <w:t xml:space="preserve">Roste zájem i o zhodnocování peněz. Podle letošního </w:t>
      </w:r>
      <w:hyperlink r:id="rId8">
        <w:r>
          <w:rPr>
            <w:color w:val="0000FF"/>
            <w:u w:val="single"/>
          </w:rPr>
          <w:t>Indexu prosperity a finančního zdraví</w:t>
        </w:r>
      </w:hyperlink>
      <w:r>
        <w:t xml:space="preserve"> se své úspory snaží nějakým způsobem zhodnocovat </w:t>
      </w:r>
      <w:r>
        <w:rPr>
          <w:b/>
          <w:bCs/>
        </w:rPr>
        <w:t>82 % Čechů</w:t>
      </w:r>
      <w:r>
        <w:t xml:space="preserve">, zatímco v roce 2024 to bylo 66 %. Aktivně investuje 55 % populace, před dvěma lety to bylo 41 %. Mezi oblíbené investiční nástroje patří především investiční fondy a ETF, které využívá téměř </w:t>
      </w:r>
      <w:r>
        <w:br/>
        <w:t xml:space="preserve">59 % lidí, kteří investují. </w:t>
      </w:r>
    </w:p>
    <w:p w14:paraId="00000008" w14:textId="77777777" w:rsidR="00F31C1B" w:rsidRDefault="00000000">
      <w:r>
        <w:t xml:space="preserve">Současně ale Češi zůstávají při investování opatrní. Podle </w:t>
      </w:r>
      <w:hyperlink r:id="rId9">
        <w:r>
          <w:rPr>
            <w:color w:val="0000FF"/>
            <w:u w:val="single"/>
          </w:rPr>
          <w:t>průzkumu Ministerstva financí</w:t>
        </w:r>
      </w:hyperlink>
      <w:r>
        <w:t xml:space="preserve"> považuje za nejdůležitější aspekt při výběru investice </w:t>
      </w:r>
      <w:r>
        <w:rPr>
          <w:b/>
          <w:bCs/>
        </w:rPr>
        <w:t>riziko finanční ztráty 84 % lidí</w:t>
      </w:r>
      <w:r>
        <w:t xml:space="preserve">, teprve poté následuje likvidita (79 %) a výnosnost (62 %). </w:t>
      </w:r>
    </w:p>
    <w:p w14:paraId="00000009" w14:textId="77777777" w:rsidR="00F31C1B" w:rsidRDefault="00000000">
      <w:r>
        <w:rPr>
          <w:i/>
          <w:iCs/>
        </w:rPr>
        <w:t>„Obava ze ztráty je přirozená. Právě proto je důležité si předem říct, na co peníze potřebuji a kdy je budu potřebovat. Jinak by měl vypadat plán pro peníze, které můžu potřebovat za rok, a jinak pro prostředky, které mají pracovat třeba dvacet let,“</w:t>
      </w:r>
      <w:r>
        <w:t xml:space="preserve"> dodává David Pacoň.</w:t>
      </w:r>
    </w:p>
    <w:p w14:paraId="0000000A" w14:textId="77777777" w:rsidR="00F31C1B" w:rsidRDefault="00000000">
      <w:pPr>
        <w:rPr>
          <w:b/>
          <w:bCs/>
          <w:color w:val="FF6600"/>
        </w:rPr>
      </w:pPr>
      <w:r>
        <w:rPr>
          <w:b/>
          <w:bCs/>
          <w:color w:val="FF6600"/>
        </w:rPr>
        <w:t>Spoření, nebo investování? Rozhoduje hlavně čas</w:t>
      </w:r>
    </w:p>
    <w:p w14:paraId="0000000B" w14:textId="77777777" w:rsidR="00F31C1B" w:rsidRDefault="00000000">
      <w:r>
        <w:rPr>
          <w:b/>
          <w:bCs/>
        </w:rPr>
        <w:t>Spořicí účet</w:t>
      </w:r>
      <w:r>
        <w:t xml:space="preserve"> je vhodný především pro finanční rezervu a peníze, které může člověk potřebovat v dohledné době. Výhodou je vysoká dostupnost peněz a nízké riziko.</w:t>
      </w:r>
    </w:p>
    <w:p w14:paraId="0000000C" w14:textId="77777777" w:rsidR="00F31C1B" w:rsidRDefault="00000000">
      <w:r>
        <w:rPr>
          <w:b/>
          <w:bCs/>
        </w:rPr>
        <w:lastRenderedPageBreak/>
        <w:t>Termínovaný vklad</w:t>
      </w:r>
      <w:r>
        <w:t xml:space="preserve"> může dávat smysl pro prostředky, u kterých člověk ví, že je po určitou dobu nebude potřebovat. Za omezení dostupnosti peněz získává předem známou úrokovou sazbu.</w:t>
      </w:r>
    </w:p>
    <w:p w14:paraId="0000000D" w14:textId="77777777" w:rsidR="00F31C1B" w:rsidRDefault="00000000">
      <w:r>
        <w:rPr>
          <w:b/>
          <w:bCs/>
        </w:rPr>
        <w:t>Penzijní spoření</w:t>
      </w:r>
      <w:r>
        <w:t xml:space="preserve"> je určeno především pro dlouhodobé vytváření prostředků na důchod a může být doplněno příspěvkem zaměstnavatele nebo státní podporou podle aktuálních pravidel.</w:t>
      </w:r>
    </w:p>
    <w:p w14:paraId="0000000E" w14:textId="77777777" w:rsidR="00F31C1B" w:rsidRDefault="00000000">
      <w:r>
        <w:rPr>
          <w:b/>
          <w:bCs/>
        </w:rPr>
        <w:t>Investiční fondy a ETF</w:t>
      </w:r>
      <w:r>
        <w:t xml:space="preserve"> umožňují investovat do většího množství aktiv najednou a mohou být cestou k dlouhodobému budování majetku. Jejich hodnota ale kolísá a investor může v některých obdobích zaznamenat i výrazný pokles.</w:t>
      </w:r>
    </w:p>
    <w:p w14:paraId="0000000F" w14:textId="77777777" w:rsidR="00F31C1B" w:rsidRDefault="00000000">
      <w:r>
        <w:rPr>
          <w:b/>
          <w:bCs/>
        </w:rPr>
        <w:t>Akcie</w:t>
      </w:r>
      <w:r>
        <w:t xml:space="preserve"> mohou nabídnout vyšší potenciál výnosu, ale zároveň patří k rizikovějším investicím a jejich hodnota může výrazně kolísat.</w:t>
      </w:r>
    </w:p>
    <w:p w14:paraId="00000010" w14:textId="77777777" w:rsidR="00F31C1B" w:rsidRDefault="00000000">
      <w:r>
        <w:rPr>
          <w:b/>
          <w:bCs/>
        </w:rPr>
        <w:t>Dluhopisy</w:t>
      </w:r>
      <w:r>
        <w:t xml:space="preserve"> představují další možnost, jejich rizikovost však závisí mimo jiné na finanční situaci emitenta. Ani dluhopis proto automaticky neznamená bezpečnou investici.</w:t>
      </w:r>
    </w:p>
    <w:p w14:paraId="00000011" w14:textId="77777777" w:rsidR="00F31C1B" w:rsidRDefault="00000000">
      <w:pPr>
        <w:rPr>
          <w:b/>
          <w:bCs/>
          <w:color w:val="FF6600"/>
        </w:rPr>
      </w:pPr>
      <w:r>
        <w:rPr>
          <w:b/>
          <w:bCs/>
          <w:color w:val="FF6600"/>
        </w:rPr>
        <w:t>2 500 tisíce měsíčně: největší rozdíl udělá čas</w:t>
      </w:r>
    </w:p>
    <w:p w14:paraId="00000012" w14:textId="77777777" w:rsidR="00F31C1B" w:rsidRDefault="00000000">
      <w:r>
        <w:t xml:space="preserve">Modelový příklad ukazuje, proč může být při investování tak důležitý dlouhý horizont. Při pravidelné investici </w:t>
      </w:r>
      <w:r>
        <w:rPr>
          <w:b/>
          <w:bCs/>
        </w:rPr>
        <w:t>2 500 Kč měsíčně</w:t>
      </w:r>
      <w:r>
        <w:t xml:space="preserve"> a modelovém průměrném výnosu </w:t>
      </w:r>
      <w:r>
        <w:rPr>
          <w:b/>
          <w:bCs/>
        </w:rPr>
        <w:t>8 % ročně</w:t>
      </w:r>
      <w:r>
        <w:t xml:space="preserve"> příklad vychází: </w:t>
      </w:r>
    </w:p>
    <w:tbl>
      <w:tblPr>
        <w:tblStyle w:val="a2"/>
        <w:tblW w:w="8584" w:type="dxa"/>
        <w:tblInd w:w="0" w:type="dxa"/>
        <w:tblLayout w:type="fixed"/>
        <w:tblLook w:val="0400" w:firstRow="0" w:lastRow="0" w:firstColumn="0" w:lastColumn="0" w:noHBand="0" w:noVBand="1"/>
      </w:tblPr>
      <w:tblGrid>
        <w:gridCol w:w="1981"/>
        <w:gridCol w:w="1603"/>
        <w:gridCol w:w="3160"/>
        <w:gridCol w:w="1840"/>
      </w:tblGrid>
      <w:tr w:rsidR="00F31C1B" w14:paraId="6C70A603" w14:textId="77777777">
        <w:trPr>
          <w:tblHeader/>
        </w:trPr>
        <w:tc>
          <w:tcPr>
            <w:tcW w:w="1981" w:type="dxa"/>
            <w:vAlign w:val="center"/>
          </w:tcPr>
          <w:p w14:paraId="00000013" w14:textId="77777777" w:rsidR="00F31C1B" w:rsidRDefault="00000000">
            <w:pPr>
              <w:rPr>
                <w:b/>
                <w:bCs/>
              </w:rPr>
            </w:pPr>
            <w:r>
              <w:rPr>
                <w:b/>
                <w:bCs/>
              </w:rPr>
              <w:t>Doba investování</w:t>
            </w:r>
          </w:p>
        </w:tc>
        <w:tc>
          <w:tcPr>
            <w:tcW w:w="1603" w:type="dxa"/>
            <w:vAlign w:val="center"/>
          </w:tcPr>
          <w:p w14:paraId="00000014" w14:textId="77777777" w:rsidR="00F31C1B" w:rsidRDefault="00000000">
            <w:pPr>
              <w:rPr>
                <w:b/>
                <w:bCs/>
              </w:rPr>
            </w:pPr>
            <w:r>
              <w:rPr>
                <w:b/>
                <w:bCs/>
              </w:rPr>
              <w:t>Vlastní vklady</w:t>
            </w:r>
          </w:p>
        </w:tc>
        <w:tc>
          <w:tcPr>
            <w:tcW w:w="3160" w:type="dxa"/>
            <w:vAlign w:val="center"/>
          </w:tcPr>
          <w:p w14:paraId="00000015" w14:textId="77777777" w:rsidR="00F31C1B" w:rsidRDefault="00000000">
            <w:pPr>
              <w:rPr>
                <w:b/>
                <w:bCs/>
              </w:rPr>
            </w:pPr>
            <w:r>
              <w:rPr>
                <w:b/>
                <w:bCs/>
              </w:rPr>
              <w:t>Modelová hodnota investice</w:t>
            </w:r>
          </w:p>
        </w:tc>
        <w:tc>
          <w:tcPr>
            <w:tcW w:w="1840" w:type="dxa"/>
            <w:vAlign w:val="center"/>
          </w:tcPr>
          <w:p w14:paraId="00000016" w14:textId="77777777" w:rsidR="00F31C1B" w:rsidRDefault="00000000">
            <w:pPr>
              <w:rPr>
                <w:b/>
                <w:bCs/>
              </w:rPr>
            </w:pPr>
            <w:r>
              <w:rPr>
                <w:b/>
                <w:bCs/>
              </w:rPr>
              <w:t>Modelový výnos</w:t>
            </w:r>
          </w:p>
        </w:tc>
      </w:tr>
      <w:tr w:rsidR="00F31C1B" w14:paraId="389DAD23" w14:textId="77777777">
        <w:tc>
          <w:tcPr>
            <w:tcW w:w="1981" w:type="dxa"/>
            <w:vAlign w:val="center"/>
          </w:tcPr>
          <w:p w14:paraId="00000017" w14:textId="77777777" w:rsidR="00F31C1B" w:rsidRDefault="00000000">
            <w:r>
              <w:rPr>
                <w:b/>
                <w:bCs/>
              </w:rPr>
              <w:t>5 let</w:t>
            </w:r>
          </w:p>
        </w:tc>
        <w:tc>
          <w:tcPr>
            <w:tcW w:w="1603" w:type="dxa"/>
            <w:vAlign w:val="center"/>
          </w:tcPr>
          <w:p w14:paraId="00000018" w14:textId="77777777" w:rsidR="00F31C1B" w:rsidRDefault="00000000">
            <w:r>
              <w:t>150 000 Kč</w:t>
            </w:r>
          </w:p>
        </w:tc>
        <w:tc>
          <w:tcPr>
            <w:tcW w:w="3160" w:type="dxa"/>
            <w:vAlign w:val="center"/>
          </w:tcPr>
          <w:p w14:paraId="00000019" w14:textId="77777777" w:rsidR="00F31C1B" w:rsidRDefault="00000000">
            <w:r>
              <w:rPr>
                <w:b/>
                <w:bCs/>
              </w:rPr>
              <w:t>184 900 Kč</w:t>
            </w:r>
          </w:p>
        </w:tc>
        <w:tc>
          <w:tcPr>
            <w:tcW w:w="1840" w:type="dxa"/>
            <w:vAlign w:val="center"/>
          </w:tcPr>
          <w:p w14:paraId="0000001A" w14:textId="77777777" w:rsidR="00F31C1B" w:rsidRDefault="00000000">
            <w:r>
              <w:rPr>
                <w:b/>
                <w:bCs/>
              </w:rPr>
              <w:t>+34 900 Kč</w:t>
            </w:r>
          </w:p>
        </w:tc>
      </w:tr>
      <w:tr w:rsidR="00F31C1B" w14:paraId="1407EEDC" w14:textId="77777777">
        <w:tc>
          <w:tcPr>
            <w:tcW w:w="1981" w:type="dxa"/>
            <w:vAlign w:val="center"/>
          </w:tcPr>
          <w:p w14:paraId="0000001B" w14:textId="77777777" w:rsidR="00F31C1B" w:rsidRDefault="00000000">
            <w:r>
              <w:rPr>
                <w:b/>
                <w:bCs/>
              </w:rPr>
              <w:t>10 let</w:t>
            </w:r>
          </w:p>
        </w:tc>
        <w:tc>
          <w:tcPr>
            <w:tcW w:w="1603" w:type="dxa"/>
            <w:vAlign w:val="center"/>
          </w:tcPr>
          <w:p w14:paraId="0000001C" w14:textId="77777777" w:rsidR="00F31C1B" w:rsidRDefault="00000000">
            <w:r>
              <w:t>300 000 Kč</w:t>
            </w:r>
          </w:p>
        </w:tc>
        <w:tc>
          <w:tcPr>
            <w:tcW w:w="3160" w:type="dxa"/>
            <w:vAlign w:val="center"/>
          </w:tcPr>
          <w:p w14:paraId="0000001D" w14:textId="77777777" w:rsidR="00F31C1B" w:rsidRDefault="00000000">
            <w:r>
              <w:rPr>
                <w:b/>
                <w:bCs/>
              </w:rPr>
              <w:t>460 400 Kč</w:t>
            </w:r>
          </w:p>
        </w:tc>
        <w:tc>
          <w:tcPr>
            <w:tcW w:w="1840" w:type="dxa"/>
            <w:vAlign w:val="center"/>
          </w:tcPr>
          <w:p w14:paraId="0000001E" w14:textId="77777777" w:rsidR="00F31C1B" w:rsidRDefault="00000000">
            <w:r>
              <w:rPr>
                <w:b/>
                <w:bCs/>
              </w:rPr>
              <w:t>+160 400 Kč</w:t>
            </w:r>
          </w:p>
        </w:tc>
      </w:tr>
      <w:tr w:rsidR="00F31C1B" w14:paraId="0F632AEB" w14:textId="77777777">
        <w:tc>
          <w:tcPr>
            <w:tcW w:w="1981" w:type="dxa"/>
            <w:vAlign w:val="center"/>
          </w:tcPr>
          <w:p w14:paraId="0000001F" w14:textId="77777777" w:rsidR="00F31C1B" w:rsidRDefault="00000000">
            <w:r>
              <w:rPr>
                <w:b/>
                <w:bCs/>
              </w:rPr>
              <w:t>20 let</w:t>
            </w:r>
          </w:p>
        </w:tc>
        <w:tc>
          <w:tcPr>
            <w:tcW w:w="1603" w:type="dxa"/>
            <w:vAlign w:val="center"/>
          </w:tcPr>
          <w:p w14:paraId="00000020" w14:textId="77777777" w:rsidR="00F31C1B" w:rsidRDefault="00000000">
            <w:r>
              <w:t>600 000 Kč</w:t>
            </w:r>
          </w:p>
        </w:tc>
        <w:tc>
          <w:tcPr>
            <w:tcW w:w="3160" w:type="dxa"/>
            <w:vAlign w:val="center"/>
          </w:tcPr>
          <w:p w14:paraId="00000021" w14:textId="77777777" w:rsidR="00F31C1B" w:rsidRDefault="00000000">
            <w:r>
              <w:rPr>
                <w:b/>
                <w:bCs/>
              </w:rPr>
              <w:t>1 482 400 Kč</w:t>
            </w:r>
          </w:p>
        </w:tc>
        <w:tc>
          <w:tcPr>
            <w:tcW w:w="1840" w:type="dxa"/>
            <w:vAlign w:val="center"/>
          </w:tcPr>
          <w:p w14:paraId="00000022" w14:textId="77777777" w:rsidR="00F31C1B" w:rsidRDefault="00000000">
            <w:r>
              <w:rPr>
                <w:b/>
                <w:bCs/>
              </w:rPr>
              <w:t>+882 400 Kč</w:t>
            </w:r>
          </w:p>
        </w:tc>
      </w:tr>
    </w:tbl>
    <w:p w14:paraId="00000023" w14:textId="77777777" w:rsidR="00F31C1B" w:rsidRDefault="00000000">
      <w:r>
        <w:rPr>
          <w:i/>
          <w:iCs/>
        </w:rPr>
        <w:t>Modelový výpočet vychází z pravidelné měsíční investice odpovídající 2500 Kč a průměrného ročního zhodnocení 8 %. Nejde o garanci ani předpověď budoucího výnosu. Skutečná hodnota investice může v čase kolísat a výsledný výnos může být vyšší i nižší.</w:t>
      </w:r>
      <w:r>
        <w:t xml:space="preserve"> </w:t>
      </w:r>
    </w:p>
    <w:p w14:paraId="00000024" w14:textId="77777777" w:rsidR="00F31C1B" w:rsidRDefault="00000000">
      <w:r>
        <w:t>Právě zde se projevuje princip složeného výnosu – výnosy, které investice vygeneruje, mohou následně samy vytvářet další výnos. S delším horizontem tak nemusí být rozhodující pouze to, kolik člověk pravidelně odkládá, ale také jak dlouho nechá své peníze pracovat.</w:t>
      </w:r>
    </w:p>
    <w:p w14:paraId="00000025" w14:textId="77777777" w:rsidR="00F31C1B" w:rsidRDefault="00000000">
      <w:pPr>
        <w:rPr>
          <w:b/>
          <w:bCs/>
          <w:color w:val="FF6600"/>
        </w:rPr>
      </w:pPr>
      <w:r>
        <w:rPr>
          <w:b/>
          <w:bCs/>
          <w:color w:val="FF6600"/>
        </w:rPr>
        <w:t>Nejdříve rezerva, potom investice</w:t>
      </w:r>
    </w:p>
    <w:p w14:paraId="0000002C" w14:textId="35EF6F5A" w:rsidR="00F31C1B" w:rsidRDefault="00000000" w:rsidP="00864B46">
      <w:r>
        <w:rPr>
          <w:i/>
          <w:iCs/>
        </w:rPr>
        <w:t xml:space="preserve">„Investování by nemělo začínat výběrem konkrétního fondu nebo akcie. První otázkou by mělo být, </w:t>
      </w:r>
      <w:r>
        <w:rPr>
          <w:b/>
          <w:bCs/>
          <w:i/>
          <w:iCs/>
        </w:rPr>
        <w:t>jakou část peněz si člověk může dovolit investovat a kdy je bude potřebovat,“</w:t>
      </w:r>
      <w:r>
        <w:rPr>
          <w:b/>
          <w:bCs/>
        </w:rPr>
        <w:t xml:space="preserve"> </w:t>
      </w:r>
      <w:r>
        <w:t>dává na úvod pětice pravidel základní radu David Pacoň.</w:t>
      </w:r>
    </w:p>
    <w:p w14:paraId="0000002D" w14:textId="77777777" w:rsidR="00F31C1B" w:rsidRDefault="00000000">
      <w:pPr>
        <w:rPr>
          <w:b/>
          <w:bCs/>
          <w:color w:val="FF6600"/>
        </w:rPr>
      </w:pPr>
      <w:r>
        <w:rPr>
          <w:b/>
          <w:bCs/>
          <w:color w:val="FF6600"/>
        </w:rPr>
        <w:t>Největší chyba? Čekat na ideální okamžik</w:t>
      </w:r>
    </w:p>
    <w:p w14:paraId="0000002E" w14:textId="77777777" w:rsidR="00F31C1B" w:rsidRDefault="00000000">
      <w:r>
        <w:lastRenderedPageBreak/>
        <w:t xml:space="preserve">Zajímavé je, že část Čechů si dnes zpětně uvědomuje, že mohli své peníze začít zhodnocovat dříve. Podle srpnového průzkumu AKAT si 35 % dospělé populace uvědomuje, že měla investovat své přebytečné prostředky, když mohla, ale neudělala to. </w:t>
      </w:r>
    </w:p>
    <w:p w14:paraId="0000002F" w14:textId="77777777" w:rsidR="00F31C1B" w:rsidRDefault="00000000">
      <w:r>
        <w:rPr>
          <w:i/>
          <w:iCs/>
        </w:rPr>
        <w:t>„Nejde o to investovat za každou cenu nebo hledat investici s nejvyšším možným výnosem. Mnohem důležitější je mít plán. Když člověk ví, kolik peněz potřebuje jako rezervu, jaký má cíl a za jak dlouho ho chce splnit, mnohem snáze si vybere vhodný způsob, jak své peníze rozdělit,“</w:t>
      </w:r>
      <w:r>
        <w:t xml:space="preserve"> uzavírá odborník </w:t>
      </w:r>
      <w:proofErr w:type="spellStart"/>
      <w:r>
        <w:t>FinGO</w:t>
      </w:r>
      <w:proofErr w:type="spellEnd"/>
      <w:r>
        <w:t>.</w:t>
      </w:r>
    </w:p>
    <w:p w14:paraId="00000030" w14:textId="77777777" w:rsidR="00F31C1B" w:rsidRDefault="00000000">
      <w:pPr>
        <w:rPr>
          <w:b/>
          <w:bCs/>
        </w:rPr>
      </w:pPr>
      <w:r>
        <w:rPr>
          <w:b/>
          <w:bCs/>
        </w:rPr>
        <w:t>Světový den spoření tak může být letos připomínkou jednoduchého pravidla: nestačí jen peníze odkládat stranou. U dlouhodobých cílů je důležité přemýšlet také o tom, jak mohou v čase pracovat.</w:t>
      </w:r>
    </w:p>
    <w:p w14:paraId="00000031" w14:textId="77777777" w:rsidR="00F31C1B" w:rsidRDefault="00F31C1B"/>
    <w:p w14:paraId="00000032" w14:textId="77777777" w:rsidR="00F31C1B" w:rsidRDefault="00000000">
      <w:pPr>
        <w:spacing w:line="276" w:lineRule="auto"/>
      </w:pPr>
      <w:r>
        <w:rPr>
          <w:b/>
          <w:bCs/>
          <w:i/>
          <w:iCs/>
        </w:rPr>
        <w:t xml:space="preserve">O společnosti </w:t>
      </w:r>
      <w:proofErr w:type="spellStart"/>
      <w:r>
        <w:rPr>
          <w:b/>
          <w:bCs/>
          <w:i/>
          <w:iCs/>
        </w:rPr>
        <w:t>FinGO</w:t>
      </w:r>
      <w:proofErr w:type="spellEnd"/>
      <w:r>
        <w:rPr>
          <w:b/>
          <w:bCs/>
          <w:i/>
          <w:iCs/>
        </w:rPr>
        <w:t>:</w:t>
      </w:r>
    </w:p>
    <w:p w14:paraId="00000033" w14:textId="77777777" w:rsidR="00F31C1B" w:rsidRDefault="00000000">
      <w:pPr>
        <w:spacing w:line="276" w:lineRule="auto"/>
        <w:rPr>
          <w:i/>
          <w:iCs/>
        </w:rPr>
      </w:pPr>
      <w:r>
        <w:rPr>
          <w:i/>
          <w:iCs/>
        </w:rPr>
        <w:t>Digitální finančně-poradenská společnost FinGO.cz začala v České republice působit v roce 2021 s cílem přinést makléřům i klientům pohodlí, férovost a díky digitálním technologiím také příležitost, jak oslovit nové klienty. V současnosti má společnost přes 680 vázaných zástupců, kteří působí po celé České republice. Za dobu svého působení se řadí mezi nejrychleji rostoucí finančně poradenské společnosti v ČR. Významný podíl produkce FinGO.cz pochází z online příležitostí, které společnost sama vytváří pro své vázané zástupce.</w:t>
      </w:r>
    </w:p>
    <w:p w14:paraId="00000034" w14:textId="77777777" w:rsidR="00F31C1B" w:rsidRDefault="00000000">
      <w:pPr>
        <w:spacing w:line="276" w:lineRule="auto"/>
        <w:rPr>
          <w:i/>
          <w:iCs/>
        </w:rPr>
      </w:pPr>
      <w:r>
        <w:rPr>
          <w:i/>
          <w:iCs/>
        </w:rPr>
        <w:t xml:space="preserve">Společnost </w:t>
      </w:r>
      <w:proofErr w:type="spellStart"/>
      <w:r>
        <w:rPr>
          <w:i/>
          <w:iCs/>
        </w:rPr>
        <w:t>FinGO</w:t>
      </w:r>
      <w:proofErr w:type="spellEnd"/>
      <w:r>
        <w:rPr>
          <w:i/>
          <w:iCs/>
        </w:rPr>
        <w:t xml:space="preserve"> je součástí lokální investiční skupiny </w:t>
      </w:r>
      <w:proofErr w:type="spellStart"/>
      <w:r>
        <w:rPr>
          <w:i/>
          <w:iCs/>
        </w:rPr>
        <w:t>InTeFi</w:t>
      </w:r>
      <w:proofErr w:type="spellEnd"/>
      <w:r>
        <w:rPr>
          <w:i/>
          <w:iCs/>
        </w:rPr>
        <w:t xml:space="preserve"> </w:t>
      </w:r>
      <w:proofErr w:type="spellStart"/>
      <w:r>
        <w:rPr>
          <w:i/>
          <w:iCs/>
        </w:rPr>
        <w:t>Capital</w:t>
      </w:r>
      <w:proofErr w:type="spellEnd"/>
      <w:r>
        <w:rPr>
          <w:i/>
          <w:iCs/>
        </w:rPr>
        <w:t xml:space="preserve"> podnikatele a investora Lukáše Nováka. Skupina vlastní a řídí české a slovenské společnosti z oblastí informačních technologií, financí, energetiky a </w:t>
      </w:r>
      <w:proofErr w:type="spellStart"/>
      <w:r>
        <w:rPr>
          <w:i/>
          <w:iCs/>
        </w:rPr>
        <w:t>real</w:t>
      </w:r>
      <w:proofErr w:type="spellEnd"/>
      <w:r>
        <w:rPr>
          <w:i/>
          <w:iCs/>
        </w:rPr>
        <w:t xml:space="preserve"> </w:t>
      </w:r>
      <w:proofErr w:type="spellStart"/>
      <w:r>
        <w:rPr>
          <w:i/>
          <w:iCs/>
        </w:rPr>
        <w:t>estate</w:t>
      </w:r>
      <w:proofErr w:type="spellEnd"/>
      <w:r>
        <w:rPr>
          <w:i/>
          <w:iCs/>
        </w:rPr>
        <w:t xml:space="preserve"> developmentu. Je majoritním vlastníkem energetické skupiny </w:t>
      </w:r>
      <w:proofErr w:type="spellStart"/>
      <w:r>
        <w:rPr>
          <w:i/>
          <w:iCs/>
        </w:rPr>
        <w:t>Electree</w:t>
      </w:r>
      <w:proofErr w:type="spellEnd"/>
      <w:r>
        <w:rPr>
          <w:i/>
          <w:iCs/>
        </w:rPr>
        <w:t xml:space="preserve"> nebo technologické společnosti </w:t>
      </w:r>
      <w:proofErr w:type="spellStart"/>
      <w:r>
        <w:rPr>
          <w:i/>
          <w:iCs/>
        </w:rPr>
        <w:t>BiQ</w:t>
      </w:r>
      <w:proofErr w:type="spellEnd"/>
      <w:r>
        <w:rPr>
          <w:i/>
          <w:iCs/>
        </w:rPr>
        <w:t xml:space="preserve"> Group, která vytváří komplexní a udržitelné IT projekty pro řadu významných společností na Českém a evropském trhu. Sesterská společnost FinGO.sk byla založena v roce 2017 a stala se jednou z nejrychleji rostoucích společností ve svém oboru na Slovensku. Více než 1 000 odborníků působí ve všech 79 okresech Slovenska a stará se o téměř 150 000 spokojených klientů.</w:t>
      </w:r>
    </w:p>
    <w:p w14:paraId="00000035" w14:textId="77777777" w:rsidR="00F31C1B" w:rsidRDefault="00F31C1B">
      <w:pPr>
        <w:spacing w:line="276" w:lineRule="auto"/>
        <w:rPr>
          <w:i/>
          <w:iCs/>
        </w:rPr>
      </w:pPr>
    </w:p>
    <w:p w14:paraId="00000036" w14:textId="77777777" w:rsidR="00F31C1B" w:rsidRDefault="00000000">
      <w:pPr>
        <w:spacing w:after="0"/>
        <w:rPr>
          <w:b/>
          <w:bCs/>
        </w:rPr>
      </w:pPr>
      <w:r>
        <w:rPr>
          <w:b/>
          <w:bCs/>
        </w:rPr>
        <w:t>Kontakt pro média:</w:t>
      </w:r>
    </w:p>
    <w:p w14:paraId="00000037" w14:textId="77777777" w:rsidR="00F31C1B" w:rsidRDefault="00000000">
      <w:pPr>
        <w:spacing w:after="0"/>
      </w:pPr>
      <w:r>
        <w:t>Crest Communications</w:t>
      </w:r>
    </w:p>
    <w:p w14:paraId="00000038" w14:textId="77777777" w:rsidR="00F31C1B" w:rsidRDefault="00000000">
      <w:pPr>
        <w:spacing w:after="0"/>
      </w:pPr>
      <w:r>
        <w:t>Bára Wendlová</w:t>
      </w:r>
    </w:p>
    <w:p w14:paraId="00000039" w14:textId="77777777" w:rsidR="00F31C1B" w:rsidRDefault="00000000">
      <w:pPr>
        <w:spacing w:after="0"/>
      </w:pPr>
      <w:hyperlink r:id="rId10">
        <w:r>
          <w:rPr>
            <w:color w:val="0000FF"/>
            <w:u w:val="single"/>
          </w:rPr>
          <w:t>bara.wendlova@crestcom.cz</w:t>
        </w:r>
      </w:hyperlink>
      <w:r>
        <w:br/>
        <w:t>tel.: 737 080 665</w:t>
      </w:r>
    </w:p>
    <w:p w14:paraId="7FBBF75A" w14:textId="77777777" w:rsidR="00864B46" w:rsidRDefault="00000000" w:rsidP="00864B46">
      <w:pPr>
        <w:spacing w:line="276" w:lineRule="auto"/>
        <w:rPr>
          <w:b/>
          <w:bCs/>
        </w:rPr>
      </w:pPr>
      <w:r>
        <w:br/>
      </w:r>
    </w:p>
    <w:p w14:paraId="0000003C" w14:textId="3EAA6B77" w:rsidR="00F31C1B" w:rsidRPr="00864B46" w:rsidRDefault="00864B46" w:rsidP="00864B46">
      <w:pPr>
        <w:spacing w:line="276" w:lineRule="auto"/>
        <w:rPr>
          <w:b/>
          <w:bCs/>
          <w:lang w:val="cs-CZ"/>
        </w:rPr>
      </w:pPr>
      <w:r w:rsidRPr="0082022F">
        <w:rPr>
          <w:b/>
          <w:bCs/>
          <w:noProof/>
          <w:lang w:val="cs-CZ"/>
        </w:rPr>
        <w:drawing>
          <wp:anchor distT="0" distB="0" distL="114300" distR="114300" simplePos="0" relativeHeight="251663360" behindDoc="0" locked="0" layoutInCell="1" allowOverlap="1" wp14:anchorId="1E75F2CC" wp14:editId="2DF02C71">
            <wp:simplePos x="0" y="0"/>
            <wp:positionH relativeFrom="column">
              <wp:posOffset>5159375</wp:posOffset>
            </wp:positionH>
            <wp:positionV relativeFrom="paragraph">
              <wp:posOffset>208915</wp:posOffset>
            </wp:positionV>
            <wp:extent cx="596265" cy="461010"/>
            <wp:effectExtent l="0" t="0" r="0" b="0"/>
            <wp:wrapNone/>
            <wp:docPr id="759752977" name="Obrázek 2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265" cy="461010"/>
                    </a:xfrm>
                    <a:prstGeom prst="rect">
                      <a:avLst/>
                    </a:prstGeom>
                    <a:noFill/>
                  </pic:spPr>
                </pic:pic>
              </a:graphicData>
            </a:graphic>
            <wp14:sizeRelH relativeFrom="page">
              <wp14:pctWidth>0</wp14:pctWidth>
            </wp14:sizeRelH>
            <wp14:sizeRelV relativeFrom="page">
              <wp14:pctHeight>0</wp14:pctHeight>
            </wp14:sizeRelV>
          </wp:anchor>
        </w:drawing>
      </w:r>
      <w:r w:rsidRPr="0082022F">
        <w:rPr>
          <w:b/>
          <w:bCs/>
          <w:noProof/>
          <w:lang w:val="cs-CZ"/>
        </w:rPr>
        <w:drawing>
          <wp:anchor distT="0" distB="0" distL="114300" distR="114300" simplePos="0" relativeHeight="251662336" behindDoc="0" locked="0" layoutInCell="1" allowOverlap="1" wp14:anchorId="71E5A498" wp14:editId="11E8483E">
            <wp:simplePos x="0" y="0"/>
            <wp:positionH relativeFrom="column">
              <wp:posOffset>4680585</wp:posOffset>
            </wp:positionH>
            <wp:positionV relativeFrom="paragraph">
              <wp:posOffset>230505</wp:posOffset>
            </wp:positionV>
            <wp:extent cx="437515" cy="437515"/>
            <wp:effectExtent l="0" t="0" r="635" b="635"/>
            <wp:wrapNone/>
            <wp:docPr id="876935683" name="Obrázek 1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515" cy="437515"/>
                    </a:xfrm>
                    <a:prstGeom prst="rect">
                      <a:avLst/>
                    </a:prstGeom>
                    <a:noFill/>
                  </pic:spPr>
                </pic:pic>
              </a:graphicData>
            </a:graphic>
            <wp14:sizeRelH relativeFrom="page">
              <wp14:pctWidth>0</wp14:pctWidth>
            </wp14:sizeRelH>
            <wp14:sizeRelV relativeFrom="page">
              <wp14:pctHeight>0</wp14:pctHeight>
            </wp14:sizeRelV>
          </wp:anchor>
        </w:drawing>
      </w:r>
      <w:r w:rsidRPr="0082022F">
        <w:rPr>
          <w:b/>
          <w:bCs/>
          <w:noProof/>
          <w:lang w:val="cs-CZ"/>
        </w:rPr>
        <w:drawing>
          <wp:anchor distT="0" distB="0" distL="114300" distR="114300" simplePos="0" relativeHeight="251661312" behindDoc="0" locked="0" layoutInCell="1" allowOverlap="1" wp14:anchorId="17283117" wp14:editId="7BF00C87">
            <wp:simplePos x="0" y="0"/>
            <wp:positionH relativeFrom="column">
              <wp:posOffset>4187190</wp:posOffset>
            </wp:positionH>
            <wp:positionV relativeFrom="paragraph">
              <wp:posOffset>208915</wp:posOffset>
            </wp:positionV>
            <wp:extent cx="461010" cy="461010"/>
            <wp:effectExtent l="0" t="0" r="0" b="0"/>
            <wp:wrapNone/>
            <wp:docPr id="526303125" name="Obrázek 18">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pic:spPr>
                </pic:pic>
              </a:graphicData>
            </a:graphic>
            <wp14:sizeRelH relativeFrom="page">
              <wp14:pctWidth>0</wp14:pctWidth>
            </wp14:sizeRelH>
            <wp14:sizeRelV relativeFrom="page">
              <wp14:pctHeight>0</wp14:pctHeight>
            </wp14:sizeRelV>
          </wp:anchor>
        </w:drawing>
      </w:r>
      <w:r w:rsidRPr="0082022F">
        <w:rPr>
          <w:b/>
          <w:bCs/>
          <w:noProof/>
          <w:lang w:val="cs-CZ"/>
        </w:rPr>
        <w:drawing>
          <wp:anchor distT="0" distB="0" distL="114300" distR="114300" simplePos="0" relativeHeight="251660288" behindDoc="0" locked="0" layoutInCell="1" allowOverlap="1" wp14:anchorId="431D9AB1" wp14:editId="61C457AF">
            <wp:simplePos x="0" y="0"/>
            <wp:positionH relativeFrom="column">
              <wp:posOffset>3686810</wp:posOffset>
            </wp:positionH>
            <wp:positionV relativeFrom="paragraph">
              <wp:posOffset>208915</wp:posOffset>
            </wp:positionV>
            <wp:extent cx="461010" cy="461010"/>
            <wp:effectExtent l="0" t="0" r="0" b="0"/>
            <wp:wrapNone/>
            <wp:docPr id="1008894929" name="Obrázek 17">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pic:spPr>
                </pic:pic>
              </a:graphicData>
            </a:graphic>
            <wp14:sizeRelH relativeFrom="page">
              <wp14:pctWidth>0</wp14:pctWidth>
            </wp14:sizeRelH>
            <wp14:sizeRelV relativeFrom="page">
              <wp14:pctHeight>0</wp14:pctHeight>
            </wp14:sizeRelV>
          </wp:anchor>
        </w:drawing>
      </w:r>
      <w:r w:rsidRPr="0082022F">
        <w:rPr>
          <w:b/>
          <w:bCs/>
          <w:noProof/>
          <w:lang w:val="cs-CZ"/>
        </w:rPr>
        <w:drawing>
          <wp:anchor distT="0" distB="0" distL="114300" distR="114300" simplePos="0" relativeHeight="251659264" behindDoc="0" locked="0" layoutInCell="1" allowOverlap="1" wp14:anchorId="4464B72E" wp14:editId="66D43B0C">
            <wp:simplePos x="0" y="0"/>
            <wp:positionH relativeFrom="column">
              <wp:posOffset>3193415</wp:posOffset>
            </wp:positionH>
            <wp:positionV relativeFrom="paragraph">
              <wp:posOffset>208915</wp:posOffset>
            </wp:positionV>
            <wp:extent cx="461010" cy="461010"/>
            <wp:effectExtent l="0" t="0" r="0" b="0"/>
            <wp:wrapNone/>
            <wp:docPr id="1009042818" name="Obrázek 16">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pic:spPr>
                </pic:pic>
              </a:graphicData>
            </a:graphic>
            <wp14:sizeRelH relativeFrom="page">
              <wp14:pctWidth>0</wp14:pctWidth>
            </wp14:sizeRelH>
            <wp14:sizeRelV relativeFrom="page">
              <wp14:pctHeight>0</wp14:pctHeight>
            </wp14:sizeRelV>
          </wp:anchor>
        </w:drawing>
      </w:r>
      <w:r w:rsidRPr="0082022F">
        <w:rPr>
          <w:b/>
          <w:bCs/>
          <w:lang w:val="cs-CZ"/>
        </w:rPr>
        <w:br/>
        <w:t xml:space="preserve">   </w:t>
      </w:r>
    </w:p>
    <w:sectPr w:rsidR="00F31C1B" w:rsidRPr="00864B46">
      <w:headerReference w:type="default" r:id="rId21"/>
      <w:footerReference w:type="default" r:id="rId2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513FA" w14:textId="77777777" w:rsidR="008C4CB7" w:rsidRDefault="008C4CB7">
      <w:pPr>
        <w:spacing w:after="0" w:line="240" w:lineRule="auto"/>
      </w:pPr>
      <w:r>
        <w:separator/>
      </w:r>
    </w:p>
  </w:endnote>
  <w:endnote w:type="continuationSeparator" w:id="0">
    <w:p w14:paraId="40DEFCDC" w14:textId="77777777" w:rsidR="008C4CB7" w:rsidRDefault="008C4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embedRegular r:id="rId1" w:fontKey="{E702370A-BD20-44E1-88F3-773EC9AB693F}"/>
    <w:embedBold r:id="rId2" w:fontKey="{8A93241B-761E-4B84-810A-13A2DB34F402}"/>
    <w:embedItalic r:id="rId3" w:fontKey="{D678E59E-9388-4AB6-AFB6-BF92BF451414}"/>
    <w:embedBoldItalic r:id="rId4" w:fontKey="{058B24BB-190E-4900-8917-9ACFDD099BF7}"/>
  </w:font>
  <w:font w:name="Calibri">
    <w:panose1 w:val="020F0502020204030204"/>
    <w:charset w:val="EE"/>
    <w:family w:val="swiss"/>
    <w:pitch w:val="variable"/>
    <w:sig w:usb0="E4002EFF" w:usb1="C200247B" w:usb2="00000009" w:usb3="00000000" w:csb0="000001FF" w:csb1="00000000"/>
    <w:embedRegular r:id="rId5" w:fontKey="{0CCDF15D-ECFB-46F4-82FE-9A72CC36FB60}"/>
    <w:embedItalic r:id="rId6" w:fontKey="{FB43CD12-E352-4312-99F5-5163B4AE233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7" w:fontKey="{C48FA197-1C79-40A2-B7E8-67EAB87E238C}"/>
  </w:font>
  <w:font w:name="Cambria">
    <w:panose1 w:val="02040503050406030204"/>
    <w:charset w:val="EE"/>
    <w:family w:val="roman"/>
    <w:pitch w:val="variable"/>
    <w:sig w:usb0="E00006FF" w:usb1="420024FF" w:usb2="02000000" w:usb3="00000000" w:csb0="0000019F" w:csb1="00000000"/>
    <w:embedRegular r:id="rId8" w:fontKey="{5789ECD9-735A-442B-AB65-E50A93F8A4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77777777" w:rsidR="00F31C1B" w:rsidRDefault="00F31C1B">
    <w:pPr>
      <w:widowControl w:val="0"/>
      <w:pBdr>
        <w:top w:val="nil"/>
        <w:left w:val="nil"/>
        <w:bottom w:val="nil"/>
        <w:right w:val="nil"/>
        <w:between w:val="nil"/>
      </w:pBdr>
      <w:spacing w:after="0" w:line="276" w:lineRule="auto"/>
      <w:jc w:val="left"/>
      <w:rPr>
        <w:color w:val="000000"/>
      </w:rPr>
    </w:pPr>
  </w:p>
  <w:tbl>
    <w:tblPr>
      <w:tblStyle w:val="a3"/>
      <w:tblW w:w="9060" w:type="dxa"/>
      <w:tblInd w:w="0" w:type="dxa"/>
      <w:tblLayout w:type="fixed"/>
      <w:tblLook w:val="0600" w:firstRow="0" w:lastRow="0" w:firstColumn="0" w:lastColumn="0" w:noHBand="1" w:noVBand="1"/>
    </w:tblPr>
    <w:tblGrid>
      <w:gridCol w:w="3020"/>
      <w:gridCol w:w="3020"/>
      <w:gridCol w:w="3020"/>
    </w:tblGrid>
    <w:tr w:rsidR="00F31C1B" w14:paraId="6533B3D4" w14:textId="77777777">
      <w:trPr>
        <w:trHeight w:val="300"/>
      </w:trPr>
      <w:tc>
        <w:tcPr>
          <w:tcW w:w="3020" w:type="dxa"/>
        </w:tcPr>
        <w:p w14:paraId="00000040" w14:textId="77777777" w:rsidR="00F31C1B" w:rsidRDefault="00F31C1B">
          <w:pPr>
            <w:pBdr>
              <w:top w:val="nil"/>
              <w:left w:val="nil"/>
              <w:bottom w:val="nil"/>
              <w:right w:val="nil"/>
              <w:between w:val="nil"/>
            </w:pBdr>
            <w:tabs>
              <w:tab w:val="center" w:pos="4536"/>
              <w:tab w:val="right" w:pos="9072"/>
            </w:tabs>
            <w:spacing w:after="0" w:line="240" w:lineRule="auto"/>
            <w:rPr>
              <w:color w:val="000000"/>
            </w:rPr>
          </w:pPr>
        </w:p>
      </w:tc>
      <w:tc>
        <w:tcPr>
          <w:tcW w:w="3020" w:type="dxa"/>
        </w:tcPr>
        <w:p w14:paraId="00000041" w14:textId="77777777" w:rsidR="00F31C1B" w:rsidRDefault="00F31C1B">
          <w:pPr>
            <w:pBdr>
              <w:top w:val="nil"/>
              <w:left w:val="nil"/>
              <w:bottom w:val="nil"/>
              <w:right w:val="nil"/>
              <w:between w:val="nil"/>
            </w:pBdr>
            <w:tabs>
              <w:tab w:val="center" w:pos="4536"/>
              <w:tab w:val="right" w:pos="9072"/>
            </w:tabs>
            <w:spacing w:after="0" w:line="240" w:lineRule="auto"/>
            <w:rPr>
              <w:color w:val="000000"/>
            </w:rPr>
          </w:pPr>
        </w:p>
      </w:tc>
      <w:tc>
        <w:tcPr>
          <w:tcW w:w="3020" w:type="dxa"/>
        </w:tcPr>
        <w:p w14:paraId="00000042" w14:textId="77777777" w:rsidR="00F31C1B" w:rsidRDefault="00F31C1B">
          <w:pPr>
            <w:pBdr>
              <w:top w:val="nil"/>
              <w:left w:val="nil"/>
              <w:bottom w:val="nil"/>
              <w:right w:val="nil"/>
              <w:between w:val="nil"/>
            </w:pBdr>
            <w:tabs>
              <w:tab w:val="center" w:pos="4536"/>
              <w:tab w:val="right" w:pos="9072"/>
            </w:tabs>
            <w:spacing w:after="0" w:line="240" w:lineRule="auto"/>
            <w:rPr>
              <w:color w:val="000000"/>
            </w:rPr>
          </w:pPr>
        </w:p>
      </w:tc>
    </w:tr>
  </w:tbl>
  <w:p w14:paraId="00000043" w14:textId="77777777" w:rsidR="00F31C1B" w:rsidRDefault="00F31C1B">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00E2D" w14:textId="77777777" w:rsidR="008C4CB7" w:rsidRDefault="008C4CB7">
      <w:pPr>
        <w:spacing w:after="0" w:line="240" w:lineRule="auto"/>
      </w:pPr>
      <w:r>
        <w:separator/>
      </w:r>
    </w:p>
  </w:footnote>
  <w:footnote w:type="continuationSeparator" w:id="0">
    <w:p w14:paraId="2D5A6DFD" w14:textId="77777777" w:rsidR="008C4CB7" w:rsidRDefault="008C4C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D" w14:textId="77777777" w:rsidR="00F31C1B" w:rsidRDefault="00000000">
    <w:pPr>
      <w:pBdr>
        <w:top w:val="nil"/>
        <w:left w:val="nil"/>
        <w:bottom w:val="nil"/>
        <w:right w:val="nil"/>
        <w:between w:val="nil"/>
      </w:pBdr>
      <w:tabs>
        <w:tab w:val="center" w:pos="4536"/>
        <w:tab w:val="right" w:pos="9072"/>
      </w:tabs>
      <w:spacing w:after="0" w:line="240" w:lineRule="auto"/>
      <w:rPr>
        <w:color w:val="000000"/>
        <w:sz w:val="30"/>
        <w:szCs w:val="30"/>
      </w:rPr>
    </w:pPr>
    <w:r>
      <w:rPr>
        <w:noProof/>
      </w:rPr>
      <w:drawing>
        <wp:anchor distT="0" distB="0" distL="114300" distR="114300" simplePos="0" relativeHeight="251658240" behindDoc="0" locked="0" layoutInCell="1" hidden="0" allowOverlap="1">
          <wp:simplePos x="0" y="0"/>
          <wp:positionH relativeFrom="column">
            <wp:posOffset>4310380</wp:posOffset>
          </wp:positionH>
          <wp:positionV relativeFrom="paragraph">
            <wp:posOffset>-325751</wp:posOffset>
          </wp:positionV>
          <wp:extent cx="1895475" cy="768985"/>
          <wp:effectExtent l="0" t="0" r="0" b="0"/>
          <wp:wrapSquare wrapText="bothSides" distT="0" distB="0" distL="114300" distR="114300"/>
          <wp:docPr id="21142770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5475" cy="768985"/>
                  </a:xfrm>
                  <a:prstGeom prst="rect">
                    <a:avLst/>
                  </a:prstGeom>
                  <a:ln/>
                </pic:spPr>
              </pic:pic>
            </a:graphicData>
          </a:graphic>
        </wp:anchor>
      </w:drawing>
    </w:r>
  </w:p>
  <w:p w14:paraId="0000003E" w14:textId="77777777" w:rsidR="00F31C1B" w:rsidRDefault="00F31C1B">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C1B"/>
    <w:rsid w:val="00204F74"/>
    <w:rsid w:val="00864B46"/>
    <w:rsid w:val="008C4CB7"/>
    <w:rsid w:val="00F31C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9888"/>
  <w15:docId w15:val="{B3474DEE-628D-465B-B402-FD06B1CB1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cs" w:eastAsia="cs-CZ"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outlineLvl w:val="0"/>
    </w:pPr>
    <w:rPr>
      <w:b/>
      <w:bCs/>
      <w:sz w:val="32"/>
      <w:szCs w:val="32"/>
    </w:rPr>
  </w:style>
  <w:style w:type="paragraph" w:styleId="Nadpis2">
    <w:name w:val="heading 2"/>
    <w:basedOn w:val="Normln"/>
    <w:next w:val="Normln"/>
    <w:uiPriority w:val="9"/>
    <w:semiHidden/>
    <w:unhideWhenUsed/>
    <w:qFormat/>
    <w:pPr>
      <w:keepNext/>
      <w:keepLines/>
      <w:spacing w:before="40" w:after="0"/>
      <w:outlineLvl w:val="1"/>
    </w:pPr>
    <w:rPr>
      <w:rFonts w:ascii="Calibri" w:eastAsia="Calibri" w:hAnsi="Calibri" w:cs="Calibri"/>
      <w:color w:val="2F5496"/>
      <w:sz w:val="26"/>
      <w:szCs w:val="26"/>
    </w:rPr>
  </w:style>
  <w:style w:type="paragraph" w:styleId="Nadpis3">
    <w:name w:val="heading 3"/>
    <w:basedOn w:val="Normln"/>
    <w:next w:val="Normln"/>
    <w:uiPriority w:val="9"/>
    <w:semiHidden/>
    <w:unhideWhenUsed/>
    <w:qFormat/>
    <w:pPr>
      <w:keepNext/>
      <w:keepLines/>
      <w:spacing w:before="40" w:after="0"/>
      <w:outlineLvl w:val="2"/>
    </w:pPr>
    <w:rPr>
      <w:rFonts w:ascii="Calibri" w:eastAsia="Calibri" w:hAnsi="Calibri" w:cs="Calibri"/>
      <w:color w:val="1F3863"/>
      <w:sz w:val="24"/>
      <w:szCs w:val="24"/>
    </w:rPr>
  </w:style>
  <w:style w:type="paragraph" w:styleId="Nadpis4">
    <w:name w:val="heading 4"/>
    <w:basedOn w:val="Normln"/>
    <w:next w:val="Normln"/>
    <w:uiPriority w:val="9"/>
    <w:semiHidden/>
    <w:unhideWhenUsed/>
    <w:qFormat/>
    <w:pPr>
      <w:keepNext/>
      <w:keepLines/>
      <w:spacing w:before="40" w:after="0"/>
      <w:outlineLvl w:val="3"/>
    </w:pPr>
    <w:rPr>
      <w:rFonts w:ascii="Calibri" w:eastAsia="Calibri" w:hAnsi="Calibri" w:cs="Calibri"/>
      <w:i/>
      <w:iCs/>
      <w:color w:val="2F5496"/>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paragraph" w:styleId="Odstavecseseznamem">
    <w:name w:val="List Paragraph"/>
    <w:uiPriority w:val="34"/>
    <w:qFormat/>
    <w:rsid w:val="002D24E9"/>
    <w:pPr>
      <w:ind w:left="720"/>
      <w:contextualSpacing/>
    </w:pPr>
  </w:style>
  <w:style w:type="character" w:styleId="Hypertextovodkaz">
    <w:name w:val="Hyperlink"/>
    <w:basedOn w:val="Standardnpsmoodstavce"/>
    <w:uiPriority w:val="99"/>
    <w:unhideWhenUsed/>
    <w:rsid w:val="003063AC"/>
    <w:rPr>
      <w:color w:val="0000FF" w:themeColor="hyperlink"/>
      <w:u w:val="single"/>
    </w:r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paragraph" w:styleId="Textkomente">
    <w:name w:val="annotation text"/>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Pedmtkomente">
    <w:name w:val="annotation subject"/>
    <w:basedOn w:val="Textkomente"/>
    <w:next w:val="Textkomente"/>
    <w:link w:val="PedmtkomenteChar"/>
    <w:uiPriority w:val="99"/>
    <w:semiHidden/>
    <w:unhideWhenUsed/>
    <w:rsid w:val="000B1F14"/>
    <w:rPr>
      <w:b/>
      <w:bCs/>
    </w:rPr>
  </w:style>
  <w:style w:type="character" w:customStyle="1" w:styleId="PedmtkomenteChar">
    <w:name w:val="Předmět komentáře Char"/>
    <w:basedOn w:val="TextkomenteChar"/>
    <w:link w:val="Pedmtkomente"/>
    <w:uiPriority w:val="99"/>
    <w:semiHidden/>
    <w:rsid w:val="000B1F14"/>
    <w:rPr>
      <w:b/>
      <w:bCs/>
      <w:sz w:val="20"/>
      <w:szCs w:val="20"/>
    </w:rPr>
  </w:style>
  <w:style w:type="paragraph" w:styleId="Revize">
    <w:name w:val="Revision"/>
    <w:hidden/>
    <w:uiPriority w:val="99"/>
    <w:semiHidden/>
    <w:rsid w:val="000B1F14"/>
    <w:pPr>
      <w:spacing w:after="0" w:line="240" w:lineRule="auto"/>
      <w:jc w:val="left"/>
    </w:pPr>
  </w:style>
  <w:style w:type="character" w:styleId="Nevyeenzmnka">
    <w:name w:val="Unresolved Mention"/>
    <w:basedOn w:val="Standardnpsmoodstavce"/>
    <w:uiPriority w:val="99"/>
    <w:semiHidden/>
    <w:unhideWhenUsed/>
    <w:rsid w:val="00B53B68"/>
    <w:rPr>
      <w:color w:val="605E5C"/>
      <w:shd w:val="clear" w:color="auto" w:fill="E1DFDD"/>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paragraph" w:styleId="Zhlav">
    <w:name w:val="header"/>
    <w:basedOn w:val="Normln"/>
    <w:link w:val="ZhlavChar"/>
    <w:uiPriority w:val="99"/>
    <w:unhideWhenUsed/>
    <w:rsid w:val="00864B4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64B46"/>
  </w:style>
  <w:style w:type="paragraph" w:styleId="Zpat">
    <w:name w:val="footer"/>
    <w:basedOn w:val="Normln"/>
    <w:link w:val="ZpatChar"/>
    <w:uiPriority w:val="99"/>
    <w:unhideWhenUsed/>
    <w:rsid w:val="00864B46"/>
    <w:pPr>
      <w:tabs>
        <w:tab w:val="center" w:pos="4536"/>
        <w:tab w:val="right" w:pos="9072"/>
      </w:tabs>
      <w:spacing w:after="0" w:line="240" w:lineRule="auto"/>
    </w:pPr>
  </w:style>
  <w:style w:type="character" w:customStyle="1" w:styleId="ZpatChar">
    <w:name w:val="Zápatí Char"/>
    <w:basedOn w:val="Standardnpsmoodstavce"/>
    <w:link w:val="Zpat"/>
    <w:uiPriority w:val="99"/>
    <w:rsid w:val="00864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dexprosperity.cz/2026/financni-investice/" TargetMode="External"/><Relationship Id="rId13" Type="http://schemas.openxmlformats.org/officeDocument/2006/relationships/hyperlink" Target="https://x.com/fingocz"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indexprosperity.cz/2026/financni-investice/" TargetMode="External"/><Relationship Id="rId12" Type="http://schemas.openxmlformats.org/officeDocument/2006/relationships/image" Target="media/image1.png"/><Relationship Id="rId17" Type="http://schemas.openxmlformats.org/officeDocument/2006/relationships/hyperlink" Target="https://www.instagram.com/fingo.cz/"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youtube.com/channel/UCGwO0jxau7AaMq0gKUcCh7A"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linkedin.com/company/fingo-cz/" TargetMode="External"/><Relationship Id="rId23" Type="http://schemas.openxmlformats.org/officeDocument/2006/relationships/fontTable" Target="fontTable.xml"/><Relationship Id="rId10" Type="http://schemas.openxmlformats.org/officeDocument/2006/relationships/hyperlink" Target="mailto:bara.wendlova@crestcom.cz" TargetMode="External"/><Relationship Id="rId19" Type="http://schemas.openxmlformats.org/officeDocument/2006/relationships/hyperlink" Target="https://www.facebook.com/fingo.cz/" TargetMode="External"/><Relationship Id="rId4" Type="http://schemas.openxmlformats.org/officeDocument/2006/relationships/webSettings" Target="webSettings.xml"/><Relationship Id="rId9" Type="http://schemas.openxmlformats.org/officeDocument/2006/relationships/hyperlink" Target="https://financnigramotnost.gov.cz/cs/aktuality/2026/vysledky-mereni-financni-gramotnosti-202-3447/" TargetMode="External"/><Relationship Id="rId14" Type="http://schemas.openxmlformats.org/officeDocument/2006/relationships/image" Target="media/image2.pn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Y+YUo2Vxlj/pIB9Gk4nnG0EnIw==">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1003</Words>
  <Characters>5922</Characters>
  <Application>Microsoft Office Word</Application>
  <DocSecurity>0</DocSecurity>
  <Lines>49</Lines>
  <Paragraphs>13</Paragraphs>
  <ScaleCrop>false</ScaleCrop>
  <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Bára Wendlová</dc:creator>
  <cp:lastModifiedBy>Bára Wendlová | CrestCommunications a.s.</cp:lastModifiedBy>
  <cp:revision>2</cp:revision>
  <dcterms:created xsi:type="dcterms:W3CDTF">2026-09-22T08:43:00Z</dcterms:created>
  <dcterms:modified xsi:type="dcterms:W3CDTF">2026-10-21T10:57:00Z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0x010100EE21AEF63623FE4F9A58CC6BACDC5B81</vt:lpwstr>
  </property>
  <property fmtid="{D5CDD505-2E9C-101B-9397-08002B2CF9AE}" pid="3" name="MediaServiceImageTags">
    <vt:lpwstr>MediaServiceImageTags</vt:lpwstr>
  </property>
</Properties>
</file>